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B66" w:rsidRDefault="00D02AD0" w:rsidP="00D02AD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color w:val="000000" w:themeColor="text1"/>
        </w:rPr>
      </w:pPr>
      <w:bookmarkStart w:id="0" w:name="_Ref131673962"/>
      <w:bookmarkStart w:id="1" w:name="_Toc147489088"/>
      <w:r w:rsidRPr="002F2F42">
        <w:rPr>
          <w:b/>
          <w:color w:val="000000" w:themeColor="text1"/>
        </w:rPr>
        <w:t>Table 5</w:t>
      </w:r>
      <w:r w:rsidRPr="002F2F42">
        <w:rPr>
          <w:b/>
        </w:rPr>
        <w:t>.</w:t>
      </w:r>
      <w:r w:rsidRPr="002F2F42">
        <w:rPr>
          <w:b/>
        </w:rPr>
        <w:fldChar w:fldCharType="begin"/>
      </w:r>
      <w:r w:rsidRPr="002F2F42">
        <w:rPr>
          <w:b/>
        </w:rPr>
        <w:instrText xml:space="preserve"> SEQ Table_5. \* ARABIC </w:instrText>
      </w:r>
      <w:r w:rsidRPr="002F2F42">
        <w:rPr>
          <w:b/>
        </w:rPr>
        <w:fldChar w:fldCharType="separate"/>
      </w:r>
      <w:r w:rsidRPr="002F2F42">
        <w:rPr>
          <w:b/>
          <w:noProof/>
        </w:rPr>
        <w:t>11</w:t>
      </w:r>
      <w:r w:rsidRPr="002F2F42">
        <w:rPr>
          <w:b/>
        </w:rPr>
        <w:fldChar w:fldCharType="end"/>
      </w:r>
      <w:bookmarkEnd w:id="0"/>
      <w:r w:rsidRPr="002F2F42">
        <w:rPr>
          <w:b/>
        </w:rPr>
        <w:t>.</w:t>
      </w:r>
      <w:r w:rsidRPr="002F2F42">
        <w:rPr>
          <w:b/>
          <w:color w:val="000000" w:themeColor="text1"/>
        </w:rPr>
        <w:t xml:space="preserve"> </w:t>
      </w:r>
      <w:r w:rsidRPr="002F2F42">
        <w:rPr>
          <w:color w:val="000000" w:themeColor="text1"/>
        </w:rPr>
        <w:t xml:space="preserve">A summary of gaps in knowledge and implementation impeding </w:t>
      </w:r>
      <w:r w:rsidRPr="004F6786">
        <w:rPr>
          <w:color w:val="000000" w:themeColor="text1"/>
        </w:rPr>
        <w:t>management</w:t>
      </w:r>
      <w:r w:rsidRPr="5E4965FB">
        <w:rPr>
          <w:rFonts w:eastAsia="Times New Roman"/>
          <w:color w:val="000000" w:themeColor="text1"/>
        </w:rPr>
        <w:t xml:space="preserve"> </w:t>
      </w:r>
      <w:r>
        <w:t>of biological invasions</w:t>
      </w:r>
      <w:r w:rsidRPr="004F6786">
        <w:rPr>
          <w:color w:val="000000" w:themeColor="text1"/>
        </w:rPr>
        <w:t xml:space="preserve">. </w:t>
      </w:r>
    </w:p>
    <w:p w:rsidR="00D02AD0" w:rsidRPr="004F6786" w:rsidRDefault="00D02AD0" w:rsidP="00D02AD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b/>
          <w:color w:val="000000"/>
        </w:rPr>
      </w:pPr>
      <w:bookmarkStart w:id="2" w:name="_GoBack"/>
      <w:bookmarkEnd w:id="2"/>
      <w:r w:rsidRPr="004F6786">
        <w:rPr>
          <w:color w:val="000000" w:themeColor="text1"/>
        </w:rPr>
        <w:t>The gaps were developed through an expert elicitation process with authors of Chapter 5.</w:t>
      </w:r>
      <w:bookmarkEnd w:id="1"/>
      <w:r w:rsidRPr="004F6786">
        <w:rPr>
          <w:b/>
          <w:color w:val="000000" w:themeColor="text1"/>
        </w:rPr>
        <w:t xml:space="preserve"> </w:t>
      </w:r>
    </w:p>
    <w:p w:rsidR="00D02AD0" w:rsidRPr="00C0338D" w:rsidRDefault="00D02AD0" w:rsidP="00D02AD0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562"/>
        <w:gridCol w:w="1843"/>
        <w:gridCol w:w="2835"/>
        <w:gridCol w:w="2855"/>
        <w:gridCol w:w="1256"/>
      </w:tblGrid>
      <w:tr w:rsidR="00D02AD0" w:rsidTr="004F6786">
        <w:trPr>
          <w:cantSplit/>
          <w:trHeight w:val="1134"/>
          <w:tblHeader/>
        </w:trPr>
        <w:tc>
          <w:tcPr>
            <w:tcW w:w="562" w:type="dxa"/>
            <w:textDirection w:val="btLr"/>
          </w:tcPr>
          <w:p w:rsidR="00D02AD0" w:rsidRPr="00C0338D" w:rsidRDefault="00D02AD0" w:rsidP="004F6786">
            <w:pPr>
              <w:spacing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  <w:rPr>
                <w:b/>
              </w:rPr>
            </w:pPr>
            <w:r w:rsidRPr="00C0338D">
              <w:rPr>
                <w:b/>
              </w:rPr>
              <w:t xml:space="preserve">Gap type </w:t>
            </w:r>
          </w:p>
          <w:p w:rsidR="00D02AD0" w:rsidRPr="00C0338D" w:rsidRDefault="00D02AD0" w:rsidP="004F6786">
            <w:pPr>
              <w:spacing w:line="240" w:lineRule="auto"/>
            </w:pPr>
            <w:r w:rsidRPr="00C0338D">
              <w:rPr>
                <w:b/>
                <w:sz w:val="20"/>
              </w:rPr>
              <w:t>and category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rPr>
                <w:b/>
              </w:rPr>
              <w:t>Gap description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  <w:rPr>
                <w:b/>
              </w:rPr>
            </w:pPr>
            <w:r w:rsidRPr="00C0338D">
              <w:rPr>
                <w:b/>
              </w:rPr>
              <w:t>Why is it important?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  <w:rPr>
                <w:b/>
              </w:rPr>
            </w:pPr>
            <w:r w:rsidRPr="00C0338D">
              <w:rPr>
                <w:b/>
              </w:rPr>
              <w:t>Cross-reference</w:t>
            </w:r>
          </w:p>
        </w:tc>
      </w:tr>
      <w:tr w:rsidR="00D02AD0" w:rsidTr="004F6786">
        <w:tc>
          <w:tcPr>
            <w:tcW w:w="562" w:type="dxa"/>
            <w:vMerge w:val="restart"/>
            <w:shd w:val="clear" w:color="auto" w:fill="F2F2F2" w:themeFill="background1" w:themeFillShade="F2"/>
            <w:textDirection w:val="btLr"/>
          </w:tcPr>
          <w:p w:rsidR="00D02AD0" w:rsidRPr="00C0338D" w:rsidRDefault="00D02AD0" w:rsidP="004F6786">
            <w:pPr>
              <w:spacing w:line="240" w:lineRule="auto"/>
              <w:ind w:left="113" w:right="113"/>
              <w:jc w:val="center"/>
              <w:rPr>
                <w:b/>
              </w:rPr>
            </w:pPr>
            <w:r w:rsidRPr="00C0338D">
              <w:rPr>
                <w:b/>
              </w:rPr>
              <w:t>Pathway Management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Knowledge and implementation; </w:t>
            </w:r>
            <w:r w:rsidRPr="00C0338D">
              <w:rPr>
                <w:sz w:val="20"/>
              </w:rPr>
              <w:t>potential instruments, including policy and enabling approaches</w:t>
            </w:r>
          </w:p>
        </w:tc>
        <w:tc>
          <w:tcPr>
            <w:tcW w:w="28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Eradication strategies and guidelines for generalist invasive alien invertebrates, diseases and hard to detect freshwater and marine invasive alien species (not restricted to defined hosts).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These groups have been understudied. Even where information is available, developing and implementing guidelines remains difficult and is seldom done.</w:t>
            </w:r>
          </w:p>
        </w:tc>
        <w:tc>
          <w:tcPr>
            <w:tcW w:w="125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r w:rsidRPr="00C0338D">
              <w:t>5.2.2.1, 5.2.2.2, 5.5.3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</w:pP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Knowledge; </w:t>
            </w:r>
            <w:r w:rsidRPr="00C0338D">
              <w:rPr>
                <w:sz w:val="20"/>
              </w:rPr>
              <w:t>gaps on biomes, units of analysis or taxonomic gaps</w:t>
            </w:r>
          </w:p>
        </w:tc>
        <w:tc>
          <w:tcPr>
            <w:tcW w:w="28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Risk management, cost-effective species-</w:t>
            </w:r>
            <w:r>
              <w:t>based</w:t>
            </w:r>
            <w:r w:rsidRPr="00C0338D">
              <w:t xml:space="preserve"> surveillance and detection strategies for multiple invasive alien species groups, e.g., fungi and other microbes.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Species-</w:t>
            </w:r>
            <w:r>
              <w:t>based</w:t>
            </w:r>
            <w:r w:rsidRPr="00C0338D">
              <w:t xml:space="preserve"> approaches are limited by taxonomic un- certainty, e.g., microbes. Strategies are needed at a higher taxonomic level than species in such cases.</w:t>
            </w:r>
          </w:p>
        </w:tc>
        <w:tc>
          <w:tcPr>
            <w:tcW w:w="125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5.2.2.1, 5.3.1.2, 5.4.3.2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</w:pP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potential instruments, including policy and enabling approaches</w:t>
            </w:r>
            <w:r w:rsidRPr="00C0338D">
              <w:t xml:space="preserve"> </w:t>
            </w:r>
          </w:p>
        </w:tc>
        <w:tc>
          <w:tcPr>
            <w:tcW w:w="28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Risk analysis for movement of marine invasive alien species.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Risk analysis tools are available but not consistently applied. Pathway management is the highest priority for marine species.</w:t>
            </w:r>
          </w:p>
        </w:tc>
        <w:tc>
          <w:tcPr>
            <w:tcW w:w="125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5.2.2.1, </w:t>
            </w:r>
            <w:r w:rsidRPr="0040026F">
              <w:rPr>
                <w:iCs/>
              </w:rPr>
              <w:t>Figure</w:t>
            </w:r>
            <w:r w:rsidRPr="00C0338D">
              <w:t xml:space="preserve"> 5.4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spacing w:line="240" w:lineRule="auto"/>
              <w:ind w:left="113" w:right="113"/>
              <w:jc w:val="center"/>
            </w:pP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potential instruments, including policy and enabling approaches and management</w:t>
            </w:r>
          </w:p>
        </w:tc>
        <w:tc>
          <w:tcPr>
            <w:tcW w:w="28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Managing alien species movements and biosecurity risks along trade supply chains, e.g., via shipping containers.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Trade based pathways such as shipping containers and illegal mail order remain poorly managed, particularly for contaminating pests and diseases.</w:t>
            </w:r>
          </w:p>
        </w:tc>
        <w:tc>
          <w:tcPr>
            <w:tcW w:w="125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5.3.1.1, </w:t>
            </w:r>
          </w:p>
          <w:p w:rsidR="00D02AD0" w:rsidRPr="00C0338D" w:rsidRDefault="00D02AD0" w:rsidP="004F6786">
            <w:pPr>
              <w:spacing w:line="240" w:lineRule="auto"/>
            </w:pPr>
            <w:r w:rsidRPr="00C0338D">
              <w:t>5.4.3.1,</w:t>
            </w:r>
          </w:p>
          <w:p w:rsidR="00D02AD0" w:rsidRPr="00C0338D" w:rsidRDefault="00D02AD0" w:rsidP="004F6786">
            <w:pPr>
              <w:spacing w:line="240" w:lineRule="auto"/>
            </w:pPr>
            <w:r w:rsidRPr="0040026F">
              <w:rPr>
                <w:rFonts w:eastAsia="Calibri"/>
                <w:iCs/>
              </w:rPr>
              <w:t>Box</w:t>
            </w:r>
            <w:r w:rsidRPr="00C0338D">
              <w:t xml:space="preserve"> 5.2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spacing w:line="240" w:lineRule="auto"/>
              <w:ind w:left="113" w:right="113"/>
              <w:jc w:val="center"/>
            </w:pP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potential instruments, including policy and enabling approaches and management</w:t>
            </w:r>
          </w:p>
        </w:tc>
        <w:tc>
          <w:tcPr>
            <w:tcW w:w="28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Effective management and compliance of biofouling policy.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International (and national) policy instruments are available but not consistently applied. New biofouling treatments are needed. </w:t>
            </w:r>
          </w:p>
        </w:tc>
        <w:tc>
          <w:tcPr>
            <w:tcW w:w="125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5.5.1,</w:t>
            </w:r>
          </w:p>
          <w:p w:rsidR="00D02AD0" w:rsidRPr="00C0338D" w:rsidRDefault="00D02AD0" w:rsidP="004F6786">
            <w:pPr>
              <w:spacing w:line="240" w:lineRule="auto"/>
            </w:pPr>
            <w:r w:rsidRPr="00C0338D">
              <w:t>Chapter 6, section 6.2.1(5)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spacing w:line="240" w:lineRule="auto"/>
              <w:ind w:left="113" w:right="113"/>
              <w:jc w:val="center"/>
            </w:pP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management</w:t>
            </w:r>
          </w:p>
        </w:tc>
        <w:tc>
          <w:tcPr>
            <w:tcW w:w="28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Management of deliberate movements of species across jurisdictional land-borders. Domestic quarantine is poorly implemented in several developing countries.</w:t>
            </w:r>
          </w:p>
          <w:p w:rsidR="00D02AD0" w:rsidRPr="00C0338D" w:rsidRDefault="00D02AD0" w:rsidP="004F6786">
            <w:pPr>
              <w:spacing w:line="240" w:lineRule="auto"/>
            </w:pPr>
          </w:p>
        </w:tc>
        <w:tc>
          <w:tcPr>
            <w:tcW w:w="2855" w:type="dxa"/>
            <w:shd w:val="clear" w:color="auto" w:fill="F2F2F2" w:themeFill="background1" w:themeFillShade="F2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lastRenderedPageBreak/>
              <w:t>Needs better policy to support management. Natural pathways cannot be prevented, but may benefit from improved surveillance.</w:t>
            </w:r>
          </w:p>
        </w:tc>
        <w:tc>
          <w:tcPr>
            <w:tcW w:w="125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5.6.2.1, </w:t>
            </w:r>
            <w:r w:rsidRPr="0040026F">
              <w:rPr>
                <w:rFonts w:eastAsia="Calibri"/>
                <w:iCs/>
              </w:rPr>
              <w:t>Table</w:t>
            </w:r>
            <w:r w:rsidRPr="00C0338D">
              <w:t xml:space="preserve"> 5.10</w:t>
            </w:r>
          </w:p>
        </w:tc>
      </w:tr>
      <w:tr w:rsidR="00D02AD0" w:rsidTr="004F6786">
        <w:trPr>
          <w:trHeight w:val="2219"/>
        </w:trPr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spacing w:line="240" w:lineRule="auto"/>
              <w:ind w:left="113" w:right="113"/>
              <w:jc w:val="center"/>
            </w:pP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Knowledge; </w:t>
            </w:r>
            <w:r w:rsidRPr="00C0338D">
              <w:rPr>
                <w:sz w:val="20"/>
              </w:rPr>
              <w:t>integrated scenarios and models; technical development</w:t>
            </w:r>
          </w:p>
        </w:tc>
        <w:tc>
          <w:tcPr>
            <w:tcW w:w="28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Understanding of direct and indirect non-target impacts of chemical, manual, mechanical and biological control of an invasive alien species on other species and ecosystems.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 xml:space="preserve">Non-target impacts can be substantial and are important therefore data need to be collected and included in risk analysis. </w:t>
            </w:r>
          </w:p>
        </w:tc>
        <w:tc>
          <w:tcPr>
            <w:tcW w:w="125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5.5.5</w:t>
            </w:r>
          </w:p>
        </w:tc>
      </w:tr>
      <w:tr w:rsidR="00D02AD0" w:rsidTr="004F6786">
        <w:tc>
          <w:tcPr>
            <w:tcW w:w="562" w:type="dxa"/>
            <w:vMerge w:val="restart"/>
            <w:textDirection w:val="btLr"/>
          </w:tcPr>
          <w:p w:rsidR="00D02AD0" w:rsidRPr="00C0338D" w:rsidRDefault="00D02AD0" w:rsidP="004F6786">
            <w:pPr>
              <w:spacing w:line="240" w:lineRule="auto"/>
              <w:ind w:left="113" w:right="113"/>
              <w:jc w:val="center"/>
              <w:rPr>
                <w:b/>
              </w:rPr>
            </w:pPr>
            <w:r w:rsidRPr="00C0338D">
              <w:rPr>
                <w:b/>
              </w:rPr>
              <w:t>Species-</w:t>
            </w:r>
            <w:r w:rsidRPr="776B8B26">
              <w:rPr>
                <w:b/>
                <w:bCs/>
              </w:rPr>
              <w:t>based</w:t>
            </w:r>
            <w:r w:rsidRPr="00C0338D">
              <w:rPr>
                <w:b/>
              </w:rPr>
              <w:t xml:space="preserve"> Management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Knowledge; </w:t>
            </w:r>
            <w:r w:rsidRPr="00C0338D">
              <w:rPr>
                <w:sz w:val="20"/>
              </w:rPr>
              <w:t>gaps on biomes, units of analysis or taxonomic gaps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Incorrect taxonomic species identification (or varieties) impeding management.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Access to strong taxonomic capability for invasive alien species in all key groups is critical.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5.4.3.2, 5.6.2.1,</w:t>
            </w:r>
          </w:p>
          <w:p w:rsidR="00D02AD0" w:rsidRPr="00C0338D" w:rsidRDefault="00D02AD0" w:rsidP="004F6786">
            <w:pPr>
              <w:spacing w:line="240" w:lineRule="auto"/>
            </w:pPr>
            <w:r w:rsidRPr="0040026F">
              <w:rPr>
                <w:rFonts w:eastAsia="Calibri"/>
                <w:iCs/>
              </w:rPr>
              <w:t>Table</w:t>
            </w:r>
            <w:r w:rsidRPr="00C0338D">
              <w:t xml:space="preserve"> 5.4,</w:t>
            </w:r>
          </w:p>
          <w:p w:rsidR="00D02AD0" w:rsidRPr="00C0338D" w:rsidRDefault="00D02AD0" w:rsidP="004F6786">
            <w:pPr>
              <w:spacing w:line="240" w:lineRule="auto"/>
            </w:pPr>
            <w:r w:rsidRPr="0040026F">
              <w:rPr>
                <w:rFonts w:eastAsia="Calibri"/>
                <w:iCs/>
              </w:rPr>
              <w:t>Table</w:t>
            </w:r>
            <w:r w:rsidRPr="00C0338D">
              <w:t xml:space="preserve"> 5.12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Knowledge and implementation; </w:t>
            </w:r>
            <w:r w:rsidRPr="00C0338D">
              <w:rPr>
                <w:sz w:val="20"/>
              </w:rPr>
              <w:t>integrated scenarios and models; technical development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Prioritizing invasive alien species management and developing the necessary strategies under climate change and habitat or land-use change. 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Considering climate change effects on invasive alien species and their management is rare but will be critical in the future.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5.6.1.3, </w:t>
            </w:r>
            <w:r w:rsidRPr="0040026F">
              <w:rPr>
                <w:rFonts w:eastAsia="Calibri"/>
                <w:iCs/>
              </w:rPr>
              <w:t>Figure</w:t>
            </w:r>
            <w:r w:rsidRPr="00C0338D">
              <w:t xml:space="preserve"> 5.27; Chapter 6, section 6.7.2.2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Knowledge and implementation; </w:t>
            </w:r>
            <w:r w:rsidRPr="00C0338D">
              <w:rPr>
                <w:sz w:val="20"/>
              </w:rPr>
              <w:t>integrated scenarios and models; technical development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Prioritizing management </w:t>
            </w:r>
            <w:r>
              <w:t xml:space="preserve">of biological invasions </w:t>
            </w:r>
            <w:r w:rsidRPr="00C0338D">
              <w:t xml:space="preserve">over other actions (e.g., threatened and endangered species protection and management). 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Protecting threatened species and communities may be improved by understanding cost</w:t>
            </w:r>
            <w:r>
              <w:t>-</w:t>
            </w:r>
            <w:r w:rsidRPr="00C0338D">
              <w:t xml:space="preserve">effectiveness of different actions including management </w:t>
            </w:r>
            <w:r>
              <w:t xml:space="preserve">of biological invasions </w:t>
            </w:r>
            <w:r w:rsidRPr="00C0338D">
              <w:t xml:space="preserve">to prioritize investments. 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5.2.2.2, 5.3.1.4</w:t>
            </w:r>
          </w:p>
          <w:p w:rsidR="00D02AD0" w:rsidRPr="00C0338D" w:rsidRDefault="00D02AD0" w:rsidP="004F6786">
            <w:pPr>
              <w:spacing w:line="240" w:lineRule="auto"/>
            </w:pP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management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Containment of slow spreading pervasive invasive alien invertebrates and plants.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Slow spreading invasive alien species are often a lower priority for management but they may be harder to control later and have greater long-term impacts. 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5.5.4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technical development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Humane management approaches for invasive alien species subject to animal ethics.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Humane management approaches for invasive alien species often increases social acceptability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  <w:rPr>
                <w:highlight w:val="yellow"/>
              </w:rPr>
            </w:pPr>
            <w:r w:rsidRPr="00C0338D">
              <w:t>5.4.3.2, 5.5.5.2</w:t>
            </w:r>
          </w:p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  <w:rPr>
                <w:highlight w:val="yellow"/>
              </w:rPr>
            </w:pP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4F6786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highlight w:val="yellow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integrated scenarios and models; technical development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1067"/>
              </w:tabs>
              <w:spacing w:line="240" w:lineRule="auto"/>
              <w:rPr>
                <w:highlight w:val="yellow"/>
              </w:rPr>
            </w:pPr>
            <w:r w:rsidRPr="00C0338D">
              <w:t>Management of invasive alien invertebrates and plants under increasingly restrictive chemical control options.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With the preference to alternative management options, it is important to proactively consider and develop better integrated management approaches including biological options.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</w:pPr>
            <w:r w:rsidRPr="00C0338D">
              <w:t>5.4.3.2,</w:t>
            </w:r>
          </w:p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5.4.3.3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4F6786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highlight w:val="yellow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management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Management of marine invasive alien species for population suppression.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All current marine invasive alien species management </w:t>
            </w:r>
            <w:proofErr w:type="spellStart"/>
            <w:r w:rsidRPr="00C0338D">
              <w:t>programmes</w:t>
            </w:r>
            <w:proofErr w:type="spellEnd"/>
            <w:r w:rsidRPr="00C0338D">
              <w:t xml:space="preserve"> have been unsuccessful in the long-term as a means of control. 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</w:pPr>
            <w:r w:rsidRPr="00C0338D">
              <w:t>5.6.1.1,</w:t>
            </w:r>
          </w:p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</w:pPr>
            <w:r w:rsidRPr="0040026F">
              <w:rPr>
                <w:rFonts w:eastAsia="Calibri"/>
                <w:iCs/>
              </w:rPr>
              <w:t>Box</w:t>
            </w:r>
            <w:r w:rsidRPr="00C0338D">
              <w:t xml:space="preserve"> 5.3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spacing w:line="240" w:lineRule="auto"/>
              <w:ind w:left="113" w:right="113"/>
              <w:jc w:val="center"/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management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Management approaches for widespread established invasive alien species using available and novel tools and methods.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 xml:space="preserve">Once prevention has been optimized there is a need to consider and develop better technologies for control of widespread species. 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  <w:rPr>
                <w:highlight w:val="yellow"/>
              </w:rPr>
            </w:pPr>
            <w:r w:rsidRPr="00C0338D">
              <w:t>5.5.5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2F2F42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integrated scenarios and models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Management decision-making approaches for invasive alien species with benefits in some contexts (i.e., conflict species).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Policy and collective decision- making approaches need to better address conflict species to prevent management being stalled.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  <w:rPr>
                <w:highlight w:val="yellow"/>
              </w:rPr>
            </w:pPr>
            <w:r w:rsidRPr="00C0338D">
              <w:t xml:space="preserve">5.6.1.2, </w:t>
            </w:r>
            <w:r w:rsidRPr="0040026F">
              <w:rPr>
                <w:rFonts w:eastAsia="Calibri"/>
                <w:iCs/>
              </w:rPr>
              <w:t>Table</w:t>
            </w:r>
            <w:r w:rsidRPr="00C0338D">
              <w:t xml:space="preserve"> 5.9; Chapter 6, section 6.4.1</w:t>
            </w:r>
          </w:p>
        </w:tc>
      </w:tr>
      <w:tr w:rsidR="00D02AD0" w:rsidTr="004F6786">
        <w:trPr>
          <w:trHeight w:val="1891"/>
        </w:trPr>
        <w:tc>
          <w:tcPr>
            <w:tcW w:w="562" w:type="dxa"/>
            <w:vMerge/>
            <w:textDirection w:val="btLr"/>
          </w:tcPr>
          <w:p w:rsidR="00D02AD0" w:rsidRPr="004F6786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highlight w:val="yellow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Knowledge; </w:t>
            </w:r>
            <w:r w:rsidRPr="00C0338D">
              <w:rPr>
                <w:sz w:val="20"/>
              </w:rPr>
              <w:t>integrated scenarios and models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Prioritizing site-based management under multiple management contexts (i.e., nature, nature’s contributions to people and good quality of life).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Site-based, ecosystem-based and restoration generally focuses on biodiversity protection but needs to include impacts on Indigenous Peoples and local communities.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5.3.1</w:t>
            </w:r>
          </w:p>
        </w:tc>
      </w:tr>
      <w:tr w:rsidR="00D02AD0" w:rsidTr="004F6786">
        <w:tc>
          <w:tcPr>
            <w:tcW w:w="562" w:type="dxa"/>
            <w:vMerge w:val="restart"/>
            <w:shd w:val="clear" w:color="auto" w:fill="F2F2F2" w:themeFill="background1" w:themeFillShade="F2"/>
            <w:textDirection w:val="btLr"/>
          </w:tcPr>
          <w:p w:rsidR="00D02AD0" w:rsidRPr="00C0338D" w:rsidRDefault="00D02AD0" w:rsidP="004F6786">
            <w:pPr>
              <w:spacing w:line="240" w:lineRule="auto"/>
              <w:ind w:left="113" w:right="113"/>
              <w:jc w:val="center"/>
              <w:rPr>
                <w:b/>
              </w:rPr>
            </w:pPr>
            <w:r w:rsidRPr="00C0338D">
              <w:rPr>
                <w:b/>
              </w:rPr>
              <w:t>Site/ecosystem-based Management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Knowledge; </w:t>
            </w:r>
            <w:r w:rsidRPr="00C0338D">
              <w:rPr>
                <w:sz w:val="20"/>
              </w:rPr>
              <w:t>integrated scenarios and models; technical development</w:t>
            </w:r>
          </w:p>
        </w:tc>
        <w:tc>
          <w:tcPr>
            <w:tcW w:w="28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1007"/>
              </w:tabs>
              <w:spacing w:line="240" w:lineRule="auto"/>
            </w:pPr>
            <w:r w:rsidRPr="00C0338D">
              <w:t>Cost-effective scenarios and modelling for invasive alien species management and evaluation use.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Scenarios and modelling are generally underutilized for invasive alien species management planning.</w:t>
            </w:r>
          </w:p>
        </w:tc>
        <w:tc>
          <w:tcPr>
            <w:tcW w:w="125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5.2.2.4, 5.6.3.2,</w:t>
            </w:r>
          </w:p>
          <w:p w:rsidR="00D02AD0" w:rsidRPr="00C0338D" w:rsidRDefault="00D02AD0" w:rsidP="004F6786">
            <w:pPr>
              <w:spacing w:line="240" w:lineRule="auto"/>
            </w:pPr>
            <w:r w:rsidRPr="0040026F">
              <w:rPr>
                <w:rFonts w:eastAsia="Calibri"/>
                <w:iCs/>
              </w:rPr>
              <w:t>Table</w:t>
            </w:r>
            <w:r w:rsidRPr="00C0338D">
              <w:t xml:space="preserve"> 5.14, </w:t>
            </w:r>
            <w:r w:rsidRPr="0040026F">
              <w:rPr>
                <w:rFonts w:eastAsia="Calibri"/>
                <w:iCs/>
              </w:rPr>
              <w:t>Table</w:t>
            </w:r>
            <w:r w:rsidRPr="00C0338D">
              <w:t xml:space="preserve"> 5.15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</w:pP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Knowledge; </w:t>
            </w:r>
            <w:r w:rsidRPr="00C0338D">
              <w:rPr>
                <w:sz w:val="20"/>
              </w:rPr>
              <w:t>potential instruments, including policy and enabling approaches and management</w:t>
            </w:r>
          </w:p>
        </w:tc>
        <w:tc>
          <w:tcPr>
            <w:tcW w:w="28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D2715A" w:rsidRDefault="00D02AD0" w:rsidP="004F6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7"/>
              </w:tabs>
              <w:spacing w:line="240" w:lineRule="auto"/>
            </w:pPr>
            <w:r w:rsidRPr="00D2715A">
              <w:t>Managing urban and peri-urban areas, including urban-marine linked areas, in the context of impacts on surrounding ecosystems and ecosystem services on which local communities depend.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D02AD0" w:rsidRPr="00C0338D" w:rsidRDefault="00D02AD0" w:rsidP="004F6786">
            <w:pPr>
              <w:tabs>
                <w:tab w:val="left" w:pos="1007"/>
              </w:tabs>
              <w:spacing w:line="240" w:lineRule="auto"/>
            </w:pPr>
            <w:r w:rsidRPr="00C0338D">
              <w:t>As urban and peri-urban areas put increasing pressure on native communities through local biodiversity loss, managing this driver of invasive alien species impacts needs to be prioritized and addressed.</w:t>
            </w:r>
          </w:p>
        </w:tc>
        <w:tc>
          <w:tcPr>
            <w:tcW w:w="125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5.6.1.4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</w:pP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management</w:t>
            </w:r>
          </w:p>
        </w:tc>
        <w:tc>
          <w:tcPr>
            <w:tcW w:w="28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1007"/>
              </w:tabs>
              <w:spacing w:line="240" w:lineRule="auto"/>
            </w:pPr>
            <w:r w:rsidRPr="00C0338D">
              <w:t xml:space="preserve">Effective inclusion of </w:t>
            </w:r>
            <w:r>
              <w:t>I</w:t>
            </w:r>
            <w:r w:rsidRPr="00C0338D">
              <w:t>ndigenous and local knowledge in management design and decision-making.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Indigenous and local knowledge is critical for long-term, integrated, management</w:t>
            </w:r>
            <w:r>
              <w:t xml:space="preserve"> of biological invasions</w:t>
            </w:r>
            <w:r w:rsidRPr="00C0338D">
              <w:t>.</w:t>
            </w:r>
          </w:p>
        </w:tc>
        <w:tc>
          <w:tcPr>
            <w:tcW w:w="125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</w:pPr>
            <w:r w:rsidRPr="00C0338D">
              <w:t xml:space="preserve">5.1.3, 5.5.2, </w:t>
            </w:r>
          </w:p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5.7, </w:t>
            </w:r>
          </w:p>
          <w:p w:rsidR="00D02AD0" w:rsidRPr="00C0338D" w:rsidRDefault="00D02AD0" w:rsidP="004F6786">
            <w:pPr>
              <w:spacing w:line="240" w:lineRule="auto"/>
            </w:pPr>
            <w:r w:rsidRPr="0040026F">
              <w:rPr>
                <w:rFonts w:eastAsia="Calibri"/>
                <w:iCs/>
              </w:rPr>
              <w:t>Box</w:t>
            </w:r>
            <w:r w:rsidRPr="00C0338D">
              <w:t xml:space="preserve"> 5.15</w:t>
            </w:r>
          </w:p>
        </w:tc>
      </w:tr>
      <w:tr w:rsidR="00D02AD0" w:rsidTr="004F6786"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</w:pP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Implementation; </w:t>
            </w:r>
            <w:r w:rsidRPr="00C0338D">
              <w:rPr>
                <w:sz w:val="20"/>
              </w:rPr>
              <w:t>management</w:t>
            </w:r>
            <w:r w:rsidRPr="00C0338D">
              <w:t xml:space="preserve"> </w:t>
            </w:r>
          </w:p>
        </w:tc>
        <w:tc>
          <w:tcPr>
            <w:tcW w:w="28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 xml:space="preserve">Adaptive integrated invasive alien species management with ecosystem restoration to improve ecosystem resilience and broader </w:t>
            </w:r>
            <w:r w:rsidRPr="00C0338D">
              <w:lastRenderedPageBreak/>
              <w:t>ecosystem-based management.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lastRenderedPageBreak/>
              <w:t xml:space="preserve">Improving adaptive management from governance to implementation is a priority, as it is a proven approach to </w:t>
            </w:r>
            <w:r w:rsidRPr="00C0338D">
              <w:lastRenderedPageBreak/>
              <w:t>managing dynamic ecosystems.</w:t>
            </w:r>
          </w:p>
        </w:tc>
        <w:tc>
          <w:tcPr>
            <w:tcW w:w="1256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</w:pPr>
            <w:r w:rsidRPr="00C0338D">
              <w:lastRenderedPageBreak/>
              <w:t>5.4.3.3, 5.5.6,</w:t>
            </w:r>
          </w:p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</w:pPr>
            <w:r w:rsidRPr="00C0338D">
              <w:t>5.6.2.5;</w:t>
            </w:r>
          </w:p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  <w:rPr>
                <w:highlight w:val="yellow"/>
              </w:rPr>
            </w:pPr>
            <w:r w:rsidRPr="00C0338D">
              <w:t xml:space="preserve">Chapter 6., </w:t>
            </w:r>
            <w:r w:rsidRPr="0040026F">
              <w:rPr>
                <w:rFonts w:eastAsia="Calibri"/>
                <w:iCs/>
              </w:rPr>
              <w:t>Box</w:t>
            </w:r>
            <w:r w:rsidRPr="00C0338D">
              <w:t xml:space="preserve"> </w:t>
            </w:r>
            <w:r w:rsidRPr="00C0338D">
              <w:lastRenderedPageBreak/>
              <w:t xml:space="preserve">6.14 and </w:t>
            </w:r>
            <w:r w:rsidRPr="0040026F">
              <w:rPr>
                <w:rFonts w:eastAsia="Calibri"/>
                <w:iCs/>
              </w:rPr>
              <w:t>Box</w:t>
            </w:r>
            <w:r w:rsidRPr="00C0338D">
              <w:t xml:space="preserve"> 6.16</w:t>
            </w:r>
          </w:p>
        </w:tc>
      </w:tr>
      <w:tr w:rsidR="00D02AD0" w:rsidTr="004F6786">
        <w:trPr>
          <w:trHeight w:val="2155"/>
        </w:trPr>
        <w:tc>
          <w:tcPr>
            <w:tcW w:w="562" w:type="dxa"/>
            <w:vMerge w:val="restart"/>
            <w:textDirection w:val="btLr"/>
          </w:tcPr>
          <w:p w:rsidR="00D02AD0" w:rsidRPr="00C0338D" w:rsidRDefault="00D02AD0" w:rsidP="004F6786">
            <w:pPr>
              <w:spacing w:line="240" w:lineRule="auto"/>
              <w:ind w:left="113" w:right="113"/>
              <w:jc w:val="center"/>
              <w:rPr>
                <w:b/>
              </w:rPr>
            </w:pPr>
            <w:r w:rsidRPr="00C0338D">
              <w:rPr>
                <w:b/>
              </w:rPr>
              <w:lastRenderedPageBreak/>
              <w:t>Other implementation gaps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4F6786" w:rsidRDefault="00D02AD0" w:rsidP="004F6786">
            <w:pPr>
              <w:spacing w:line="240" w:lineRule="auto"/>
              <w:rPr>
                <w:color w:val="2E75B5"/>
                <w:sz w:val="20"/>
              </w:rPr>
            </w:pPr>
            <w:r w:rsidRPr="00C0338D">
              <w:t xml:space="preserve">Essential supporting processes as impediments to invasive alien species management; </w:t>
            </w:r>
            <w:r w:rsidRPr="00C0338D">
              <w:rPr>
                <w:sz w:val="20"/>
              </w:rPr>
              <w:t>potential instruments, including policy and enabling approaches and management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Procedural (policy, cross-jurisdictional, stakeholder engagement).</w:t>
            </w:r>
          </w:p>
          <w:p w:rsidR="00D02AD0" w:rsidRPr="00C0338D" w:rsidRDefault="00D02AD0" w:rsidP="004F6786">
            <w:pPr>
              <w:spacing w:line="240" w:lineRule="auto"/>
            </w:pPr>
            <w:r w:rsidRPr="00C0338D">
              <w:t>Capacity-related (capability, lack of knowledge on modern tools and techniques, resourcing and communication).</w:t>
            </w:r>
          </w:p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Societal (lack of awareness, resistance) challenges will need to be addressed.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 xml:space="preserve">Biosecurity and invasive alien species have a human cause, are a function of human values and </w:t>
            </w:r>
            <w:proofErr w:type="spellStart"/>
            <w:r w:rsidRPr="00C0338D">
              <w:t>endeavour</w:t>
            </w:r>
            <w:proofErr w:type="spellEnd"/>
            <w:r w:rsidRPr="00C0338D">
              <w:t>, and therefore need greater cooperation and social and societal analysis and solutions.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</w:pPr>
            <w:r w:rsidRPr="00C0338D">
              <w:t xml:space="preserve">5.6.3.3, </w:t>
            </w:r>
            <w:r w:rsidRPr="0040026F">
              <w:rPr>
                <w:rFonts w:eastAsia="Calibri"/>
                <w:iCs/>
              </w:rPr>
              <w:t>Table</w:t>
            </w:r>
            <w:r w:rsidRPr="00C0338D">
              <w:t xml:space="preserve"> 5.10; Chapter 6, sections 6.4 and 6.7</w:t>
            </w:r>
          </w:p>
        </w:tc>
      </w:tr>
      <w:tr w:rsidR="00D02AD0" w:rsidTr="004F6786">
        <w:trPr>
          <w:trHeight w:val="716"/>
        </w:trPr>
        <w:tc>
          <w:tcPr>
            <w:tcW w:w="562" w:type="dxa"/>
            <w:vMerge/>
            <w:textDirection w:val="btLr"/>
          </w:tcPr>
          <w:p w:rsidR="00D02AD0" w:rsidRPr="00C0338D" w:rsidRDefault="00D02AD0" w:rsidP="004F67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</w:pPr>
            <w:r w:rsidRPr="00C0338D">
              <w:t xml:space="preserve">Uncertainty; </w:t>
            </w:r>
            <w:r w:rsidRPr="00C0338D">
              <w:rPr>
                <w:sz w:val="20"/>
              </w:rPr>
              <w:t>integrated scenarios and models; technical development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spacing w:line="240" w:lineRule="auto"/>
              <w:rPr>
                <w:highlight w:val="yellow"/>
              </w:rPr>
            </w:pPr>
            <w:r w:rsidRPr="00C0338D">
              <w:t>Decision-making in the context of uncertainty.</w:t>
            </w:r>
          </w:p>
        </w:tc>
        <w:tc>
          <w:tcPr>
            <w:tcW w:w="2855" w:type="dxa"/>
          </w:tcPr>
          <w:p w:rsidR="00D02AD0" w:rsidRPr="00C0338D" w:rsidRDefault="00D02AD0" w:rsidP="004F6786">
            <w:pPr>
              <w:spacing w:line="240" w:lineRule="auto"/>
            </w:pPr>
            <w:r w:rsidRPr="00C0338D">
              <w:t>The precautionary approach argues that actions should not be hampered by incomplete knowledge where doing nothing is not an option.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AD0" w:rsidRPr="00C0338D" w:rsidRDefault="00D02AD0" w:rsidP="004F6786">
            <w:pPr>
              <w:tabs>
                <w:tab w:val="left" w:pos="553"/>
              </w:tabs>
              <w:spacing w:line="240" w:lineRule="auto"/>
              <w:rPr>
                <w:highlight w:val="yellow"/>
              </w:rPr>
            </w:pPr>
            <w:r w:rsidRPr="00C0338D">
              <w:t>5.2.2.3, 5.6.2.5</w:t>
            </w:r>
          </w:p>
        </w:tc>
      </w:tr>
    </w:tbl>
    <w:p w:rsidR="00C8681F" w:rsidRPr="00D02AD0" w:rsidRDefault="00E80B66" w:rsidP="00D02AD0"/>
    <w:sectPr w:rsidR="00C8681F" w:rsidRPr="00D02A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90D"/>
    <w:rsid w:val="0007390D"/>
    <w:rsid w:val="005606C8"/>
    <w:rsid w:val="007B6053"/>
    <w:rsid w:val="00D02AD0"/>
    <w:rsid w:val="00E80B66"/>
    <w:rsid w:val="00F1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AA5F8D"/>
  <w15:chartTrackingRefBased/>
  <w15:docId w15:val="{DD4CC9DE-8983-4780-AE5B-F9CFDB59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390D"/>
    <w:pPr>
      <w:spacing w:after="0"/>
    </w:pPr>
    <w:rPr>
      <w:rFonts w:ascii="Times New Roman" w:hAnsi="Times New Roman" w:cs="Times New Roman"/>
      <w:sz w:val="24"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07390D"/>
    <w:pPr>
      <w:spacing w:before="120" w:after="120" w:line="240" w:lineRule="auto"/>
    </w:pPr>
    <w:rPr>
      <w:rFonts w:ascii="Calibri Light" w:eastAsia="Times New Roman" w:hAnsi="Calibri Light" w:cstheme="majorHAnsi"/>
      <w:sz w:val="18"/>
      <w:szCs w:val="20"/>
      <w:lang w:val="en-AU"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390D"/>
    <w:rPr>
      <w:rFonts w:ascii="Calibri Light" w:eastAsia="Times New Roman" w:hAnsi="Calibri Light" w:cstheme="majorHAnsi"/>
      <w:sz w:val="18"/>
      <w:szCs w:val="20"/>
      <w:lang w:val="en-AU" w:eastAsia="en-AU"/>
    </w:rPr>
  </w:style>
  <w:style w:type="paragraph" w:styleId="Caption">
    <w:name w:val="caption"/>
    <w:basedOn w:val="BodyText"/>
    <w:next w:val="BodyText"/>
    <w:uiPriority w:val="4"/>
    <w:qFormat/>
    <w:rsid w:val="0007390D"/>
    <w:pPr>
      <w:keepNext/>
      <w:spacing w:before="240" w:line="240" w:lineRule="auto"/>
    </w:pPr>
    <w:rPr>
      <w:rFonts w:eastAsia="Times New Roman"/>
      <w:b/>
      <w:bCs/>
      <w:szCs w:val="24"/>
      <w:lang w:val="en-AU"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0739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390D"/>
    <w:rPr>
      <w:rFonts w:ascii="Times New Roman" w:hAnsi="Times New Roman" w:cs="Times New Roman"/>
      <w:sz w:val="24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nantavisai</dc:creator>
  <cp:keywords/>
  <dc:description/>
  <cp:lastModifiedBy>Tsu Ias</cp:lastModifiedBy>
  <cp:revision>3</cp:revision>
  <dcterms:created xsi:type="dcterms:W3CDTF">2023-06-15T02:56:00Z</dcterms:created>
  <dcterms:modified xsi:type="dcterms:W3CDTF">2024-01-25T08:39:00Z</dcterms:modified>
</cp:coreProperties>
</file>